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2942"/>
        <w:gridCol w:w="6073"/>
      </w:tblGrid>
      <w:tr w:rsidR="009D32D2" w:rsidRPr="004524B6" w14:paraId="01836A41" w14:textId="77777777" w:rsidTr="008466A4">
        <w:trPr>
          <w:trHeight w:val="1125"/>
          <w:jc w:val="center"/>
        </w:trPr>
        <w:tc>
          <w:tcPr>
            <w:tcW w:w="5000" w:type="pct"/>
            <w:gridSpan w:val="2"/>
            <w:shd w:val="clear" w:color="auto" w:fill="auto"/>
            <w:vAlign w:val="center"/>
          </w:tcPr>
          <w:p w14:paraId="7CDF74F9" w14:textId="5A65E5B0" w:rsidR="009D32D2" w:rsidRDefault="009D32D2" w:rsidP="008466A4">
            <w:pPr>
              <w:spacing w:after="58"/>
              <w:jc w:val="center"/>
              <w:rPr>
                <w:rFonts w:ascii="Century Gothic" w:hAnsi="Century Gothic"/>
                <w:sz w:val="22"/>
                <w:szCs w:val="22"/>
                <w:lang w:val="en-GB"/>
              </w:rPr>
            </w:pPr>
            <w:bookmarkStart w:id="0" w:name="_GoBack"/>
            <w:bookmarkEnd w:id="0"/>
          </w:p>
          <w:p w14:paraId="5925DB85" w14:textId="107BDF23" w:rsidR="00466356" w:rsidRDefault="00466356" w:rsidP="008466A4">
            <w:pPr>
              <w:spacing w:after="58"/>
              <w:jc w:val="center"/>
              <w:rPr>
                <w:rFonts w:ascii="Century Gothic" w:hAnsi="Century Gothic"/>
                <w:sz w:val="22"/>
                <w:szCs w:val="22"/>
                <w:lang w:val="en-GB"/>
              </w:rPr>
            </w:pPr>
            <w:r>
              <w:rPr>
                <w:noProof/>
                <w:lang w:eastAsia="en-US"/>
              </w:rPr>
              <w:drawing>
                <wp:inline distT="0" distB="0" distL="0" distR="0" wp14:anchorId="7B2BFEC7" wp14:editId="61DA19EB">
                  <wp:extent cx="3467100" cy="1324671"/>
                  <wp:effectExtent l="0" t="0" r="0" b="8890"/>
                  <wp:docPr id="5" name="Picture 5" descr="C:\Users\denise.tucker\AppData\Local\Microsoft\Windows\Temporary Internet Files\Content.Word\rockdal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tucker\AppData\Local\Microsoft\Windows\Temporary Internet Files\Content.Word\rockdal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78814" cy="1329147"/>
                          </a:xfrm>
                          <a:prstGeom prst="rect">
                            <a:avLst/>
                          </a:prstGeom>
                          <a:noFill/>
                          <a:ln>
                            <a:noFill/>
                          </a:ln>
                        </pic:spPr>
                      </pic:pic>
                    </a:graphicData>
                  </a:graphic>
                </wp:inline>
              </w:drawing>
            </w:r>
          </w:p>
          <w:p w14:paraId="2397617B" w14:textId="77777777" w:rsidR="009D32D2" w:rsidRPr="004524B6" w:rsidRDefault="009D32D2" w:rsidP="008466A4">
            <w:pPr>
              <w:jc w:val="center"/>
              <w:rPr>
                <w:rFonts w:ascii="Century Gothic" w:hAnsi="Century Gothic"/>
                <w:sz w:val="22"/>
                <w:szCs w:val="22"/>
                <w:lang w:val="en-GB"/>
              </w:rPr>
            </w:pPr>
            <w:r>
              <w:rPr>
                <w:rFonts w:ascii="Century Gothic" w:hAnsi="Century Gothic"/>
                <w:b/>
                <w:bCs/>
                <w:sz w:val="22"/>
                <w:szCs w:val="22"/>
                <w:lang w:val="en-GB"/>
              </w:rPr>
              <w:t xml:space="preserve">HOUSING ASSOCIATION LTD - </w:t>
            </w:r>
            <w:r w:rsidRPr="002C21E9">
              <w:rPr>
                <w:rFonts w:ascii="Century Gothic" w:hAnsi="Century Gothic"/>
                <w:b/>
                <w:bCs/>
                <w:sz w:val="22"/>
                <w:szCs w:val="22"/>
                <w:lang w:val="en-GB"/>
              </w:rPr>
              <w:t>CENTRAL REGISTER</w:t>
            </w:r>
            <w:r>
              <w:rPr>
                <w:rFonts w:ascii="Century Gothic" w:hAnsi="Century Gothic"/>
                <w:b/>
                <w:bCs/>
                <w:sz w:val="22"/>
                <w:szCs w:val="22"/>
                <w:lang w:val="en-GB"/>
              </w:rPr>
              <w:t xml:space="preserve"> DOCUMENT</w:t>
            </w:r>
          </w:p>
        </w:tc>
      </w:tr>
      <w:tr w:rsidR="009D32D2" w:rsidRPr="004524B6" w14:paraId="42FF88E9" w14:textId="77777777" w:rsidTr="008466A4">
        <w:trPr>
          <w:trHeight w:val="510"/>
          <w:jc w:val="center"/>
        </w:trPr>
        <w:tc>
          <w:tcPr>
            <w:tcW w:w="1632" w:type="pct"/>
            <w:shd w:val="clear" w:color="auto" w:fill="F2F2F2"/>
            <w:vAlign w:val="center"/>
          </w:tcPr>
          <w:p w14:paraId="298FE66E" w14:textId="77777777" w:rsidR="009D32D2" w:rsidRPr="002C21E9" w:rsidRDefault="009D32D2" w:rsidP="008466A4">
            <w:pPr>
              <w:spacing w:after="58"/>
              <w:rPr>
                <w:rFonts w:ascii="Century Gothic" w:hAnsi="Century Gothic"/>
                <w:sz w:val="22"/>
                <w:szCs w:val="22"/>
                <w:lang w:val="en-GB"/>
              </w:rPr>
            </w:pPr>
            <w:r w:rsidRPr="002C21E9">
              <w:rPr>
                <w:rFonts w:ascii="Century Gothic" w:hAnsi="Century Gothic"/>
                <w:sz w:val="22"/>
                <w:szCs w:val="22"/>
                <w:lang w:val="en-GB"/>
              </w:rPr>
              <w:t>Title</w:t>
            </w:r>
          </w:p>
        </w:tc>
        <w:tc>
          <w:tcPr>
            <w:tcW w:w="3368" w:type="pct"/>
            <w:vAlign w:val="center"/>
          </w:tcPr>
          <w:p w14:paraId="1087C0E3" w14:textId="77777777" w:rsidR="009D32D2" w:rsidRPr="004524B6" w:rsidRDefault="00FB3044" w:rsidP="008466A4">
            <w:pPr>
              <w:spacing w:after="58"/>
              <w:rPr>
                <w:rFonts w:ascii="Century Gothic" w:hAnsi="Century Gothic"/>
                <w:sz w:val="22"/>
                <w:szCs w:val="22"/>
                <w:lang w:val="en-GB"/>
              </w:rPr>
            </w:pPr>
            <w:r>
              <w:rPr>
                <w:rFonts w:ascii="Century Gothic" w:hAnsi="Century Gothic"/>
                <w:sz w:val="22"/>
                <w:szCs w:val="22"/>
                <w:lang w:val="en-GB"/>
              </w:rPr>
              <w:t>Transfers – Policy and Procedure</w:t>
            </w:r>
          </w:p>
        </w:tc>
      </w:tr>
      <w:tr w:rsidR="009D32D2" w:rsidRPr="002C21E9" w14:paraId="0D88412C" w14:textId="77777777" w:rsidTr="008466A4">
        <w:trPr>
          <w:trHeight w:val="510"/>
          <w:jc w:val="center"/>
        </w:trPr>
        <w:tc>
          <w:tcPr>
            <w:tcW w:w="1632" w:type="pct"/>
            <w:shd w:val="clear" w:color="auto" w:fill="F2F2F2"/>
            <w:vAlign w:val="center"/>
          </w:tcPr>
          <w:p w14:paraId="60343CEE" w14:textId="77777777" w:rsidR="009D32D2" w:rsidRPr="002C21E9" w:rsidRDefault="009D32D2" w:rsidP="008466A4">
            <w:pPr>
              <w:spacing w:after="58"/>
              <w:rPr>
                <w:rFonts w:ascii="Century Gothic" w:hAnsi="Century Gothic"/>
                <w:sz w:val="22"/>
                <w:szCs w:val="22"/>
                <w:lang w:val="en-GB"/>
              </w:rPr>
            </w:pPr>
            <w:r w:rsidRPr="002C21E9">
              <w:rPr>
                <w:rFonts w:ascii="Century Gothic" w:hAnsi="Century Gothic"/>
                <w:sz w:val="22"/>
                <w:szCs w:val="22"/>
                <w:lang w:val="en-GB"/>
              </w:rPr>
              <w:t>Section</w:t>
            </w:r>
          </w:p>
        </w:tc>
        <w:tc>
          <w:tcPr>
            <w:tcW w:w="3368" w:type="pct"/>
            <w:vAlign w:val="center"/>
          </w:tcPr>
          <w:p w14:paraId="4F12565E" w14:textId="77777777" w:rsidR="009D32D2" w:rsidRPr="002C21E9" w:rsidRDefault="00FB3044" w:rsidP="008466A4">
            <w:pPr>
              <w:spacing w:after="58"/>
              <w:rPr>
                <w:rFonts w:ascii="Century Gothic" w:hAnsi="Century Gothic"/>
                <w:sz w:val="22"/>
                <w:szCs w:val="22"/>
                <w:lang w:val="en-GB"/>
              </w:rPr>
            </w:pPr>
            <w:r>
              <w:rPr>
                <w:rFonts w:ascii="Century Gothic" w:hAnsi="Century Gothic"/>
                <w:sz w:val="22"/>
                <w:szCs w:val="22"/>
                <w:lang w:val="en-GB"/>
              </w:rPr>
              <w:t>Lettings</w:t>
            </w:r>
          </w:p>
        </w:tc>
      </w:tr>
      <w:tr w:rsidR="009D32D2" w:rsidRPr="002C21E9" w14:paraId="0D9AFD74" w14:textId="77777777" w:rsidTr="008466A4">
        <w:trPr>
          <w:trHeight w:val="510"/>
          <w:jc w:val="center"/>
        </w:trPr>
        <w:tc>
          <w:tcPr>
            <w:tcW w:w="1632" w:type="pct"/>
            <w:shd w:val="clear" w:color="auto" w:fill="F2F2F2"/>
            <w:vAlign w:val="center"/>
          </w:tcPr>
          <w:p w14:paraId="3F38F37A" w14:textId="77777777" w:rsidR="009D32D2" w:rsidRPr="002C21E9" w:rsidRDefault="009D32D2" w:rsidP="008466A4">
            <w:pPr>
              <w:spacing w:after="58"/>
              <w:rPr>
                <w:rFonts w:ascii="Century Gothic" w:hAnsi="Century Gothic"/>
                <w:sz w:val="22"/>
                <w:szCs w:val="22"/>
                <w:lang w:val="en-GB"/>
              </w:rPr>
            </w:pPr>
            <w:r>
              <w:rPr>
                <w:rFonts w:ascii="Century Gothic" w:hAnsi="Century Gothic"/>
                <w:sz w:val="22"/>
                <w:szCs w:val="22"/>
                <w:lang w:val="en-GB"/>
              </w:rPr>
              <w:t>Number</w:t>
            </w:r>
          </w:p>
        </w:tc>
        <w:tc>
          <w:tcPr>
            <w:tcW w:w="3368" w:type="pct"/>
            <w:vAlign w:val="center"/>
          </w:tcPr>
          <w:p w14:paraId="06E15588" w14:textId="77693651" w:rsidR="009D32D2" w:rsidRPr="002C21E9" w:rsidRDefault="00FB3044" w:rsidP="008466A4">
            <w:pPr>
              <w:spacing w:after="58"/>
              <w:rPr>
                <w:rFonts w:ascii="Century Gothic" w:hAnsi="Century Gothic"/>
                <w:sz w:val="22"/>
                <w:szCs w:val="22"/>
                <w:lang w:val="en-GB"/>
              </w:rPr>
            </w:pPr>
            <w:r>
              <w:rPr>
                <w:rFonts w:ascii="Century Gothic" w:hAnsi="Century Gothic"/>
                <w:sz w:val="22"/>
                <w:szCs w:val="22"/>
                <w:lang w:val="en-GB"/>
              </w:rPr>
              <w:t>3.</w:t>
            </w:r>
            <w:r w:rsidR="00466356">
              <w:rPr>
                <w:rFonts w:ascii="Century Gothic" w:hAnsi="Century Gothic"/>
                <w:sz w:val="22"/>
                <w:szCs w:val="22"/>
                <w:lang w:val="en-GB"/>
              </w:rPr>
              <w:t>5</w:t>
            </w:r>
          </w:p>
        </w:tc>
      </w:tr>
      <w:tr w:rsidR="009D32D2" w:rsidRPr="002C21E9" w14:paraId="38AE3D7F" w14:textId="77777777" w:rsidTr="008466A4">
        <w:trPr>
          <w:trHeight w:val="510"/>
          <w:jc w:val="center"/>
        </w:trPr>
        <w:tc>
          <w:tcPr>
            <w:tcW w:w="1632" w:type="pct"/>
            <w:shd w:val="clear" w:color="auto" w:fill="F2F2F2"/>
            <w:vAlign w:val="center"/>
          </w:tcPr>
          <w:p w14:paraId="0DFA03B7" w14:textId="77777777" w:rsidR="009D32D2" w:rsidRPr="002C21E9" w:rsidRDefault="009D32D2" w:rsidP="008466A4">
            <w:pPr>
              <w:spacing w:after="58"/>
              <w:rPr>
                <w:rFonts w:ascii="Century Gothic" w:hAnsi="Century Gothic"/>
                <w:sz w:val="22"/>
                <w:szCs w:val="22"/>
                <w:lang w:val="en-GB"/>
              </w:rPr>
            </w:pPr>
            <w:r w:rsidRPr="002C21E9">
              <w:rPr>
                <w:rFonts w:ascii="Century Gothic" w:hAnsi="Century Gothic"/>
                <w:sz w:val="22"/>
                <w:szCs w:val="22"/>
                <w:lang w:val="en-GB"/>
              </w:rPr>
              <w:t>Date</w:t>
            </w:r>
            <w:r>
              <w:rPr>
                <w:rFonts w:ascii="Century Gothic" w:hAnsi="Century Gothic"/>
                <w:sz w:val="22"/>
                <w:szCs w:val="22"/>
                <w:lang w:val="en-GB"/>
              </w:rPr>
              <w:t xml:space="preserve"> of last revision</w:t>
            </w:r>
          </w:p>
        </w:tc>
        <w:tc>
          <w:tcPr>
            <w:tcW w:w="3368" w:type="pct"/>
            <w:vAlign w:val="center"/>
          </w:tcPr>
          <w:p w14:paraId="4B6D3C47" w14:textId="72EB1C4D" w:rsidR="009D32D2" w:rsidRPr="002C21E9" w:rsidRDefault="005F59F7" w:rsidP="008466A4">
            <w:pPr>
              <w:spacing w:after="58"/>
              <w:rPr>
                <w:rFonts w:ascii="Century Gothic" w:hAnsi="Century Gothic"/>
                <w:sz w:val="22"/>
                <w:szCs w:val="22"/>
                <w:lang w:val="en-GB"/>
              </w:rPr>
            </w:pPr>
            <w:r>
              <w:rPr>
                <w:rFonts w:ascii="Century Gothic" w:hAnsi="Century Gothic"/>
                <w:sz w:val="22"/>
                <w:szCs w:val="22"/>
                <w:lang w:val="en-GB"/>
              </w:rPr>
              <w:t xml:space="preserve">  September 2021</w:t>
            </w:r>
          </w:p>
        </w:tc>
      </w:tr>
      <w:tr w:rsidR="009D32D2" w:rsidRPr="002C21E9" w14:paraId="4D567AEA" w14:textId="77777777" w:rsidTr="008466A4">
        <w:trPr>
          <w:trHeight w:val="510"/>
          <w:jc w:val="center"/>
        </w:trPr>
        <w:tc>
          <w:tcPr>
            <w:tcW w:w="1632" w:type="pct"/>
            <w:shd w:val="clear" w:color="auto" w:fill="F2F2F2"/>
            <w:vAlign w:val="center"/>
          </w:tcPr>
          <w:p w14:paraId="0F79F27A" w14:textId="77777777" w:rsidR="009D32D2" w:rsidRPr="002C21E9" w:rsidRDefault="009D32D2" w:rsidP="008466A4">
            <w:pPr>
              <w:spacing w:after="58"/>
              <w:rPr>
                <w:rFonts w:ascii="Century Gothic" w:hAnsi="Century Gothic"/>
                <w:sz w:val="22"/>
                <w:szCs w:val="22"/>
                <w:lang w:val="en-GB"/>
              </w:rPr>
            </w:pPr>
            <w:r>
              <w:rPr>
                <w:rFonts w:ascii="Century Gothic" w:hAnsi="Century Gothic"/>
                <w:sz w:val="22"/>
                <w:szCs w:val="22"/>
                <w:lang w:val="en-GB"/>
              </w:rPr>
              <w:t>Due for revision</w:t>
            </w:r>
          </w:p>
        </w:tc>
        <w:tc>
          <w:tcPr>
            <w:tcW w:w="3368" w:type="pct"/>
            <w:vAlign w:val="center"/>
          </w:tcPr>
          <w:p w14:paraId="5457F4C8" w14:textId="49F26BC4" w:rsidR="009D32D2" w:rsidRPr="002C21E9" w:rsidRDefault="005F59F7" w:rsidP="008466A4">
            <w:pPr>
              <w:spacing w:after="58"/>
              <w:rPr>
                <w:rFonts w:ascii="Century Gothic" w:hAnsi="Century Gothic"/>
                <w:sz w:val="22"/>
                <w:szCs w:val="22"/>
                <w:lang w:val="en-GB"/>
              </w:rPr>
            </w:pPr>
            <w:r>
              <w:rPr>
                <w:rFonts w:ascii="Century Gothic" w:hAnsi="Century Gothic"/>
                <w:sz w:val="22"/>
                <w:szCs w:val="22"/>
                <w:lang w:val="en-GB"/>
              </w:rPr>
              <w:t xml:space="preserve"> September 2025</w:t>
            </w:r>
          </w:p>
        </w:tc>
      </w:tr>
    </w:tbl>
    <w:p w14:paraId="09B6502F" w14:textId="77777777" w:rsidR="0024278A" w:rsidRPr="00AF60BA" w:rsidRDefault="0024278A">
      <w:pPr>
        <w:rPr>
          <w:rFonts w:ascii="Century Gothic" w:hAnsi="Century Gothic"/>
          <w:sz w:val="22"/>
          <w:szCs w:val="22"/>
          <w:lang w:val="en-GB"/>
        </w:rPr>
      </w:pPr>
    </w:p>
    <w:p w14:paraId="322EC124" w14:textId="77777777" w:rsidR="0024278A" w:rsidRPr="00AF60BA" w:rsidRDefault="0024278A">
      <w:pPr>
        <w:rPr>
          <w:rFonts w:ascii="Century Gothic" w:hAnsi="Century Gothic"/>
          <w:sz w:val="22"/>
          <w:szCs w:val="22"/>
          <w:lang w:val="en-GB"/>
        </w:rPr>
      </w:pPr>
    </w:p>
    <w:p w14:paraId="46B4400B" w14:textId="77777777" w:rsidR="00A3152A" w:rsidRPr="00AF60BA" w:rsidRDefault="00A3152A">
      <w:pPr>
        <w:rPr>
          <w:rFonts w:ascii="Century Gothic" w:hAnsi="Century Gothic"/>
          <w:b/>
          <w:sz w:val="22"/>
          <w:szCs w:val="22"/>
          <w:u w:val="single"/>
          <w:lang w:val="en-GB"/>
        </w:rPr>
      </w:pPr>
      <w:r w:rsidRPr="00AF60BA">
        <w:rPr>
          <w:rFonts w:ascii="Century Gothic" w:hAnsi="Century Gothic"/>
          <w:sz w:val="22"/>
          <w:szCs w:val="22"/>
          <w:u w:val="single"/>
          <w:lang w:val="en-GB"/>
        </w:rPr>
        <w:t>Policy</w:t>
      </w:r>
    </w:p>
    <w:p w14:paraId="0C09C828" w14:textId="77777777" w:rsidR="00A3152A" w:rsidRPr="00AF60BA" w:rsidRDefault="00A3152A">
      <w:pPr>
        <w:rPr>
          <w:rFonts w:ascii="Century Gothic" w:hAnsi="Century Gothic"/>
          <w:b/>
          <w:sz w:val="22"/>
          <w:szCs w:val="22"/>
          <w:u w:val="single"/>
          <w:lang w:val="en-GB"/>
        </w:rPr>
      </w:pPr>
    </w:p>
    <w:p w14:paraId="6E50580E" w14:textId="77777777" w:rsidR="00A3152A" w:rsidRPr="00AF60BA" w:rsidRDefault="00A3152A" w:rsidP="00A3152A">
      <w:pPr>
        <w:ind w:left="720" w:hanging="720"/>
        <w:rPr>
          <w:rFonts w:ascii="Century Gothic" w:hAnsi="Century Gothic"/>
          <w:sz w:val="22"/>
          <w:szCs w:val="22"/>
          <w:lang w:val="en-GB"/>
        </w:rPr>
      </w:pPr>
      <w:r w:rsidRPr="00AF60BA">
        <w:rPr>
          <w:rFonts w:ascii="Century Gothic" w:hAnsi="Century Gothic"/>
          <w:sz w:val="22"/>
          <w:szCs w:val="22"/>
          <w:lang w:val="en-GB"/>
        </w:rPr>
        <w:t>1.</w:t>
      </w:r>
      <w:r w:rsidRPr="00AF60BA">
        <w:rPr>
          <w:rFonts w:ascii="Century Gothic" w:hAnsi="Century Gothic"/>
          <w:sz w:val="22"/>
          <w:szCs w:val="22"/>
          <w:lang w:val="en-GB"/>
        </w:rPr>
        <w:tab/>
        <w:t>Any tenant may apply for a transfer, but requests will only be approved if the tenant has a genuine need for the transfer.  This need may be medical, for example, a tenant has an upstairs flat and is unable to cope with the stairs, or a need may be established for other reasons, for example, domestic violence, racial or other forms of harassment.</w:t>
      </w:r>
    </w:p>
    <w:p w14:paraId="1B4F13C3" w14:textId="77777777" w:rsidR="00A3152A" w:rsidRPr="00AF60BA" w:rsidRDefault="00A3152A" w:rsidP="00A3152A">
      <w:pPr>
        <w:ind w:left="720" w:hanging="720"/>
        <w:rPr>
          <w:rFonts w:ascii="Century Gothic" w:hAnsi="Century Gothic"/>
          <w:sz w:val="22"/>
          <w:szCs w:val="22"/>
          <w:lang w:val="en-GB"/>
        </w:rPr>
      </w:pPr>
    </w:p>
    <w:p w14:paraId="43B5F149" w14:textId="741D211B" w:rsidR="00A3152A" w:rsidRPr="00AF60BA" w:rsidRDefault="00A3152A" w:rsidP="00A3152A">
      <w:pPr>
        <w:ind w:left="720" w:hanging="720"/>
        <w:rPr>
          <w:rFonts w:ascii="Century Gothic" w:hAnsi="Century Gothic"/>
          <w:sz w:val="22"/>
          <w:szCs w:val="22"/>
          <w:lang w:val="en-GB"/>
        </w:rPr>
      </w:pPr>
      <w:r w:rsidRPr="00AF60BA">
        <w:rPr>
          <w:rFonts w:ascii="Century Gothic" w:hAnsi="Century Gothic"/>
          <w:sz w:val="22"/>
          <w:szCs w:val="22"/>
          <w:lang w:val="en-GB"/>
        </w:rPr>
        <w:t>2.</w:t>
      </w:r>
      <w:r w:rsidRPr="00AF60BA">
        <w:rPr>
          <w:rFonts w:ascii="Century Gothic" w:hAnsi="Century Gothic"/>
          <w:sz w:val="22"/>
          <w:szCs w:val="22"/>
          <w:lang w:val="en-GB"/>
        </w:rPr>
        <w:tab/>
        <w:t xml:space="preserve">When a vacancy arises the transfer list will be looked at first before considering  </w:t>
      </w:r>
      <w:r w:rsidR="005F59F7">
        <w:rPr>
          <w:rFonts w:ascii="Century Gothic" w:hAnsi="Century Gothic"/>
          <w:sz w:val="22"/>
          <w:szCs w:val="22"/>
          <w:lang w:val="en-GB"/>
        </w:rPr>
        <w:t xml:space="preserve">waiting list </w:t>
      </w:r>
      <w:r w:rsidRPr="00AF60BA">
        <w:rPr>
          <w:rFonts w:ascii="Century Gothic" w:hAnsi="Century Gothic"/>
          <w:sz w:val="22"/>
          <w:szCs w:val="22"/>
          <w:lang w:val="en-GB"/>
        </w:rPr>
        <w:t>applicants.</w:t>
      </w:r>
    </w:p>
    <w:p w14:paraId="35F6685E" w14:textId="77777777" w:rsidR="00A3152A" w:rsidRPr="00AF60BA" w:rsidRDefault="00A3152A" w:rsidP="00A3152A">
      <w:pPr>
        <w:ind w:left="720" w:hanging="720"/>
        <w:rPr>
          <w:rFonts w:ascii="Century Gothic" w:hAnsi="Century Gothic"/>
          <w:sz w:val="22"/>
          <w:szCs w:val="22"/>
          <w:lang w:val="en-GB"/>
        </w:rPr>
      </w:pPr>
    </w:p>
    <w:p w14:paraId="490EB8BD" w14:textId="77777777" w:rsidR="00A3152A" w:rsidRPr="00AF60BA" w:rsidRDefault="00A3152A" w:rsidP="00A3152A">
      <w:pPr>
        <w:ind w:left="720" w:hanging="720"/>
        <w:rPr>
          <w:rFonts w:ascii="Century Gothic" w:hAnsi="Century Gothic"/>
          <w:sz w:val="22"/>
          <w:szCs w:val="22"/>
          <w:lang w:val="en-GB"/>
        </w:rPr>
      </w:pPr>
      <w:r w:rsidRPr="00AF60BA">
        <w:rPr>
          <w:rFonts w:ascii="Century Gothic" w:hAnsi="Century Gothic"/>
          <w:sz w:val="22"/>
          <w:szCs w:val="22"/>
          <w:lang w:val="en-GB"/>
        </w:rPr>
        <w:t>3.</w:t>
      </w:r>
      <w:r w:rsidRPr="00AF60BA">
        <w:rPr>
          <w:rFonts w:ascii="Century Gothic" w:hAnsi="Century Gothic"/>
          <w:sz w:val="22"/>
          <w:szCs w:val="22"/>
          <w:lang w:val="en-GB"/>
        </w:rPr>
        <w:tab/>
        <w:t xml:space="preserve">Transfers </w:t>
      </w:r>
      <w:r w:rsidR="00666D4E">
        <w:rPr>
          <w:rFonts w:ascii="Century Gothic" w:hAnsi="Century Gothic"/>
          <w:sz w:val="22"/>
          <w:szCs w:val="22"/>
          <w:lang w:val="en-GB"/>
        </w:rPr>
        <w:t xml:space="preserve">will </w:t>
      </w:r>
      <w:r w:rsidR="00C35AC2">
        <w:rPr>
          <w:rFonts w:ascii="Century Gothic" w:hAnsi="Century Gothic"/>
          <w:sz w:val="22"/>
          <w:szCs w:val="22"/>
          <w:lang w:val="en-GB"/>
        </w:rPr>
        <w:t xml:space="preserve">normally </w:t>
      </w:r>
      <w:r w:rsidRPr="00AF60BA">
        <w:rPr>
          <w:rFonts w:ascii="Century Gothic" w:hAnsi="Century Gothic"/>
          <w:sz w:val="22"/>
          <w:szCs w:val="22"/>
          <w:lang w:val="en-GB"/>
        </w:rPr>
        <w:t>be offered to tenants in the date order that they appear on the transfer list.</w:t>
      </w:r>
    </w:p>
    <w:p w14:paraId="54D1F54A" w14:textId="77777777" w:rsidR="00A3152A" w:rsidRPr="00AF60BA" w:rsidRDefault="00A3152A" w:rsidP="00A3152A">
      <w:pPr>
        <w:ind w:left="720" w:hanging="720"/>
        <w:rPr>
          <w:rFonts w:ascii="Century Gothic" w:hAnsi="Century Gothic"/>
          <w:sz w:val="22"/>
          <w:szCs w:val="22"/>
          <w:lang w:val="en-GB"/>
        </w:rPr>
      </w:pPr>
    </w:p>
    <w:p w14:paraId="15BBEE6E" w14:textId="77777777" w:rsidR="00961D20" w:rsidRPr="00AF60BA" w:rsidRDefault="006B475C" w:rsidP="00A3152A">
      <w:pPr>
        <w:ind w:left="720" w:hanging="720"/>
        <w:rPr>
          <w:rFonts w:ascii="Century Gothic" w:hAnsi="Century Gothic"/>
          <w:sz w:val="22"/>
          <w:szCs w:val="22"/>
          <w:lang w:val="en-GB"/>
        </w:rPr>
      </w:pPr>
      <w:r w:rsidRPr="00AF60BA">
        <w:rPr>
          <w:rFonts w:ascii="Century Gothic" w:hAnsi="Century Gothic"/>
          <w:sz w:val="22"/>
          <w:szCs w:val="22"/>
          <w:lang w:val="en-GB"/>
        </w:rPr>
        <w:t>4</w:t>
      </w:r>
      <w:r w:rsidR="00961D20" w:rsidRPr="00AF60BA">
        <w:rPr>
          <w:rFonts w:ascii="Century Gothic" w:hAnsi="Century Gothic"/>
          <w:sz w:val="22"/>
          <w:szCs w:val="22"/>
          <w:lang w:val="en-GB"/>
        </w:rPr>
        <w:t>.</w:t>
      </w:r>
      <w:r w:rsidR="00961D20" w:rsidRPr="00AF60BA">
        <w:rPr>
          <w:rFonts w:ascii="Century Gothic" w:hAnsi="Century Gothic"/>
          <w:sz w:val="22"/>
          <w:szCs w:val="22"/>
          <w:lang w:val="en-GB"/>
        </w:rPr>
        <w:tab/>
        <w:t>Tenants will be given one week to make up their mind when they are offered a transfer.</w:t>
      </w:r>
    </w:p>
    <w:p w14:paraId="65B69D91" w14:textId="77777777" w:rsidR="00961D20" w:rsidRPr="00AF60BA" w:rsidRDefault="00961D20" w:rsidP="00A3152A">
      <w:pPr>
        <w:ind w:left="720" w:hanging="720"/>
        <w:rPr>
          <w:rFonts w:ascii="Century Gothic" w:hAnsi="Century Gothic"/>
          <w:sz w:val="22"/>
          <w:szCs w:val="22"/>
          <w:lang w:val="en-GB"/>
        </w:rPr>
      </w:pPr>
    </w:p>
    <w:p w14:paraId="29C7B8F1" w14:textId="41E9995B" w:rsidR="00961D20" w:rsidRPr="00AF60BA" w:rsidRDefault="006B475C" w:rsidP="00A3152A">
      <w:pPr>
        <w:ind w:left="720" w:hanging="720"/>
        <w:rPr>
          <w:rFonts w:ascii="Century Gothic" w:hAnsi="Century Gothic"/>
          <w:sz w:val="22"/>
          <w:szCs w:val="22"/>
          <w:lang w:val="en-GB"/>
        </w:rPr>
      </w:pPr>
      <w:r w:rsidRPr="00AF60BA">
        <w:rPr>
          <w:rFonts w:ascii="Century Gothic" w:hAnsi="Century Gothic"/>
          <w:sz w:val="22"/>
          <w:szCs w:val="22"/>
          <w:lang w:val="en-GB"/>
        </w:rPr>
        <w:t>5</w:t>
      </w:r>
      <w:r w:rsidR="00961D20" w:rsidRPr="00AF60BA">
        <w:rPr>
          <w:rFonts w:ascii="Century Gothic" w:hAnsi="Century Gothic"/>
          <w:sz w:val="22"/>
          <w:szCs w:val="22"/>
          <w:lang w:val="en-GB"/>
        </w:rPr>
        <w:t>.</w:t>
      </w:r>
      <w:r w:rsidR="00961D20" w:rsidRPr="00AF60BA">
        <w:rPr>
          <w:rFonts w:ascii="Century Gothic" w:hAnsi="Century Gothic"/>
          <w:sz w:val="22"/>
          <w:szCs w:val="22"/>
          <w:lang w:val="en-GB"/>
        </w:rPr>
        <w:tab/>
        <w:t xml:space="preserve">If a tenant refuses two transfers, both of which meet the requirements specified, their name will be removed from the transfer list and the tenant advised that they can reapply after a minimum period of </w:t>
      </w:r>
      <w:r w:rsidR="00263BAA">
        <w:rPr>
          <w:rFonts w:ascii="Century Gothic" w:hAnsi="Century Gothic"/>
          <w:sz w:val="22"/>
          <w:szCs w:val="22"/>
          <w:lang w:val="en-GB"/>
        </w:rPr>
        <w:t>one</w:t>
      </w:r>
      <w:r w:rsidR="00961D20" w:rsidRPr="00AF60BA">
        <w:rPr>
          <w:rFonts w:ascii="Century Gothic" w:hAnsi="Century Gothic"/>
          <w:sz w:val="22"/>
          <w:szCs w:val="22"/>
          <w:lang w:val="en-GB"/>
        </w:rPr>
        <w:t xml:space="preserve"> year</w:t>
      </w:r>
      <w:r w:rsidR="005F59F7">
        <w:rPr>
          <w:rFonts w:ascii="Century Gothic" w:hAnsi="Century Gothic"/>
          <w:sz w:val="22"/>
          <w:szCs w:val="22"/>
          <w:lang w:val="en-GB"/>
        </w:rPr>
        <w:t xml:space="preserve"> o</w:t>
      </w:r>
      <w:r w:rsidR="00444272">
        <w:rPr>
          <w:rFonts w:ascii="Century Gothic" w:hAnsi="Century Gothic"/>
          <w:sz w:val="22"/>
          <w:szCs w:val="22"/>
          <w:lang w:val="en-GB"/>
        </w:rPr>
        <w:t>r</w:t>
      </w:r>
      <w:r w:rsidR="005F59F7">
        <w:rPr>
          <w:rFonts w:ascii="Century Gothic" w:hAnsi="Century Gothic"/>
          <w:sz w:val="22"/>
          <w:szCs w:val="22"/>
          <w:lang w:val="en-GB"/>
        </w:rPr>
        <w:t xml:space="preserve"> if their circumstances have changed</w:t>
      </w:r>
      <w:r w:rsidR="00961D20" w:rsidRPr="00AF60BA">
        <w:rPr>
          <w:rFonts w:ascii="Century Gothic" w:hAnsi="Century Gothic"/>
          <w:sz w:val="22"/>
          <w:szCs w:val="22"/>
          <w:lang w:val="en-GB"/>
        </w:rPr>
        <w:t xml:space="preserve">  The tenant will be advised of this in writing.</w:t>
      </w:r>
    </w:p>
    <w:p w14:paraId="6E0EB34A" w14:textId="77777777" w:rsidR="00961D20" w:rsidRPr="00AF60BA" w:rsidRDefault="00961D20" w:rsidP="00A3152A">
      <w:pPr>
        <w:ind w:left="720" w:hanging="720"/>
        <w:rPr>
          <w:rFonts w:ascii="Century Gothic" w:hAnsi="Century Gothic"/>
          <w:sz w:val="22"/>
          <w:szCs w:val="22"/>
          <w:lang w:val="en-GB"/>
        </w:rPr>
      </w:pPr>
    </w:p>
    <w:p w14:paraId="4501117F" w14:textId="3B9DA7A4" w:rsidR="00961D20" w:rsidRPr="00AF60BA" w:rsidRDefault="006B475C" w:rsidP="00A3152A">
      <w:pPr>
        <w:ind w:left="720" w:hanging="720"/>
        <w:rPr>
          <w:rFonts w:ascii="Century Gothic" w:hAnsi="Century Gothic"/>
          <w:sz w:val="22"/>
          <w:szCs w:val="22"/>
          <w:lang w:val="en-GB"/>
        </w:rPr>
      </w:pPr>
      <w:r w:rsidRPr="00AF60BA">
        <w:rPr>
          <w:rFonts w:ascii="Century Gothic" w:hAnsi="Century Gothic"/>
          <w:sz w:val="22"/>
          <w:szCs w:val="22"/>
          <w:lang w:val="en-GB"/>
        </w:rPr>
        <w:t>6</w:t>
      </w:r>
      <w:r w:rsidR="00961D20" w:rsidRPr="00AF60BA">
        <w:rPr>
          <w:rFonts w:ascii="Century Gothic" w:hAnsi="Century Gothic"/>
          <w:sz w:val="22"/>
          <w:szCs w:val="22"/>
          <w:lang w:val="en-GB"/>
        </w:rPr>
        <w:t>.</w:t>
      </w:r>
      <w:r w:rsidR="00961D20" w:rsidRPr="00AF60BA">
        <w:rPr>
          <w:rFonts w:ascii="Century Gothic" w:hAnsi="Century Gothic"/>
          <w:sz w:val="22"/>
          <w:szCs w:val="22"/>
          <w:lang w:val="en-GB"/>
        </w:rPr>
        <w:tab/>
        <w:t>A maximum of one move per tenant will be allowed on the same scheme, unless there are very specific circumstances which dictate another move.</w:t>
      </w:r>
      <w:r w:rsidR="005F59F7">
        <w:rPr>
          <w:rFonts w:ascii="Century Gothic" w:hAnsi="Century Gothic"/>
          <w:sz w:val="22"/>
          <w:szCs w:val="22"/>
          <w:lang w:val="en-GB"/>
        </w:rPr>
        <w:t xml:space="preserve"> This to be approved by the Head of Housing. </w:t>
      </w:r>
    </w:p>
    <w:p w14:paraId="55091977" w14:textId="77777777" w:rsidR="00961D20" w:rsidRPr="00AF60BA" w:rsidRDefault="00961D20" w:rsidP="00A3152A">
      <w:pPr>
        <w:ind w:left="720" w:hanging="720"/>
        <w:rPr>
          <w:rFonts w:ascii="Century Gothic" w:hAnsi="Century Gothic"/>
          <w:sz w:val="22"/>
          <w:szCs w:val="22"/>
          <w:lang w:val="en-GB"/>
        </w:rPr>
      </w:pPr>
    </w:p>
    <w:p w14:paraId="5922CC63" w14:textId="3FED9238" w:rsidR="00961D20" w:rsidRPr="00AF60BA" w:rsidRDefault="006B475C" w:rsidP="00A3152A">
      <w:pPr>
        <w:ind w:left="720" w:hanging="720"/>
        <w:rPr>
          <w:rFonts w:ascii="Century Gothic" w:hAnsi="Century Gothic"/>
          <w:sz w:val="22"/>
          <w:szCs w:val="22"/>
          <w:lang w:val="en-GB"/>
        </w:rPr>
      </w:pPr>
      <w:r w:rsidRPr="00AF60BA">
        <w:rPr>
          <w:rFonts w:ascii="Century Gothic" w:hAnsi="Century Gothic"/>
          <w:sz w:val="22"/>
          <w:szCs w:val="22"/>
          <w:lang w:val="en-GB"/>
        </w:rPr>
        <w:t>7</w:t>
      </w:r>
      <w:r w:rsidR="00961D20" w:rsidRPr="00AF60BA">
        <w:rPr>
          <w:rFonts w:ascii="Century Gothic" w:hAnsi="Century Gothic"/>
          <w:sz w:val="22"/>
          <w:szCs w:val="22"/>
          <w:lang w:val="en-GB"/>
        </w:rPr>
        <w:t>.</w:t>
      </w:r>
      <w:r w:rsidR="00961D20" w:rsidRPr="00AF60BA">
        <w:rPr>
          <w:rFonts w:ascii="Century Gothic" w:hAnsi="Century Gothic"/>
          <w:sz w:val="22"/>
          <w:szCs w:val="22"/>
          <w:lang w:val="en-GB"/>
        </w:rPr>
        <w:tab/>
        <w:t xml:space="preserve">The  </w:t>
      </w:r>
      <w:r w:rsidR="005F59F7">
        <w:rPr>
          <w:rFonts w:ascii="Century Gothic" w:hAnsi="Century Gothic"/>
          <w:sz w:val="22"/>
          <w:szCs w:val="22"/>
          <w:lang w:val="en-GB"/>
        </w:rPr>
        <w:t xml:space="preserve"> Head of Housing </w:t>
      </w:r>
      <w:r w:rsidR="00961D20" w:rsidRPr="00AF60BA">
        <w:rPr>
          <w:rFonts w:ascii="Century Gothic" w:hAnsi="Century Gothic"/>
          <w:sz w:val="22"/>
          <w:szCs w:val="22"/>
          <w:lang w:val="en-GB"/>
        </w:rPr>
        <w:t>will approve or decline applications for transfer within the terms of the policy.</w:t>
      </w:r>
    </w:p>
    <w:p w14:paraId="2707C9DC" w14:textId="77777777" w:rsidR="00961D20" w:rsidRPr="00AF60BA" w:rsidRDefault="00961D20" w:rsidP="00A3152A">
      <w:pPr>
        <w:ind w:left="720" w:hanging="720"/>
        <w:rPr>
          <w:rFonts w:ascii="Century Gothic" w:hAnsi="Century Gothic"/>
          <w:sz w:val="22"/>
          <w:szCs w:val="22"/>
          <w:lang w:val="en-GB"/>
        </w:rPr>
      </w:pPr>
    </w:p>
    <w:p w14:paraId="70D7B2DE" w14:textId="77777777" w:rsidR="00961D20" w:rsidRPr="00AF60BA" w:rsidRDefault="00961D20" w:rsidP="00A3152A">
      <w:pPr>
        <w:ind w:left="720" w:hanging="720"/>
        <w:rPr>
          <w:rFonts w:ascii="Century Gothic" w:hAnsi="Century Gothic"/>
          <w:sz w:val="22"/>
          <w:szCs w:val="22"/>
          <w:lang w:val="en-GB"/>
        </w:rPr>
      </w:pPr>
    </w:p>
    <w:p w14:paraId="1DF5E676" w14:textId="77777777" w:rsidR="00961D20" w:rsidRPr="00AF60BA" w:rsidRDefault="00961D20" w:rsidP="00A3152A">
      <w:pPr>
        <w:ind w:left="720" w:hanging="720"/>
        <w:rPr>
          <w:rFonts w:ascii="Century Gothic" w:hAnsi="Century Gothic"/>
          <w:sz w:val="22"/>
          <w:szCs w:val="22"/>
          <w:u w:val="single"/>
          <w:lang w:val="en-GB"/>
        </w:rPr>
      </w:pPr>
      <w:r w:rsidRPr="00AF60BA">
        <w:rPr>
          <w:rFonts w:ascii="Century Gothic" w:hAnsi="Century Gothic"/>
          <w:sz w:val="22"/>
          <w:szCs w:val="22"/>
          <w:u w:val="single"/>
          <w:lang w:val="en-GB"/>
        </w:rPr>
        <w:t>Procedure</w:t>
      </w:r>
    </w:p>
    <w:p w14:paraId="7D97016C" w14:textId="77777777" w:rsidR="00961D20" w:rsidRPr="00AF60BA" w:rsidRDefault="00961D20" w:rsidP="00A3152A">
      <w:pPr>
        <w:ind w:left="720" w:hanging="720"/>
        <w:rPr>
          <w:rFonts w:ascii="Century Gothic" w:hAnsi="Century Gothic"/>
          <w:sz w:val="22"/>
          <w:szCs w:val="22"/>
          <w:u w:val="single"/>
          <w:lang w:val="en-GB"/>
        </w:rPr>
      </w:pPr>
    </w:p>
    <w:p w14:paraId="251E9428" w14:textId="77777777" w:rsidR="00961D20" w:rsidRPr="00AF60BA" w:rsidRDefault="00961D20" w:rsidP="00A3152A">
      <w:pPr>
        <w:ind w:left="720" w:hanging="720"/>
        <w:rPr>
          <w:rFonts w:ascii="Century Gothic" w:hAnsi="Century Gothic"/>
          <w:sz w:val="22"/>
          <w:szCs w:val="22"/>
          <w:lang w:val="en-GB"/>
        </w:rPr>
      </w:pPr>
      <w:r w:rsidRPr="00AF60BA">
        <w:rPr>
          <w:rFonts w:ascii="Century Gothic" w:hAnsi="Century Gothic"/>
          <w:sz w:val="22"/>
          <w:szCs w:val="22"/>
          <w:lang w:val="en-GB"/>
        </w:rPr>
        <w:t>1.</w:t>
      </w:r>
      <w:r w:rsidRPr="00AF60BA">
        <w:rPr>
          <w:rFonts w:ascii="Century Gothic" w:hAnsi="Century Gothic"/>
          <w:sz w:val="22"/>
          <w:szCs w:val="22"/>
          <w:lang w:val="en-GB"/>
        </w:rPr>
        <w:tab/>
        <w:t>Once the request has been received, a transfer request form should be sent to the tenant.</w:t>
      </w:r>
    </w:p>
    <w:p w14:paraId="21268931" w14:textId="77777777" w:rsidR="00961D20" w:rsidRPr="00AF60BA" w:rsidRDefault="00961D20" w:rsidP="00A3152A">
      <w:pPr>
        <w:ind w:left="720" w:hanging="720"/>
        <w:rPr>
          <w:rFonts w:ascii="Century Gothic" w:hAnsi="Century Gothic"/>
          <w:sz w:val="22"/>
          <w:szCs w:val="22"/>
          <w:lang w:val="en-GB"/>
        </w:rPr>
      </w:pPr>
    </w:p>
    <w:p w14:paraId="5E69DB4A" w14:textId="77777777" w:rsidR="00961D20" w:rsidRPr="00AF60BA" w:rsidRDefault="00961D20" w:rsidP="00A3152A">
      <w:pPr>
        <w:ind w:left="720" w:hanging="720"/>
        <w:rPr>
          <w:rFonts w:ascii="Century Gothic" w:hAnsi="Century Gothic"/>
          <w:sz w:val="22"/>
          <w:szCs w:val="22"/>
          <w:lang w:val="en-GB"/>
        </w:rPr>
      </w:pPr>
      <w:r w:rsidRPr="00AF60BA">
        <w:rPr>
          <w:rFonts w:ascii="Century Gothic" w:hAnsi="Century Gothic"/>
          <w:sz w:val="22"/>
          <w:szCs w:val="22"/>
          <w:lang w:val="en-GB"/>
        </w:rPr>
        <w:t>2.</w:t>
      </w:r>
      <w:r w:rsidRPr="00AF60BA">
        <w:rPr>
          <w:rFonts w:ascii="Century Gothic" w:hAnsi="Century Gothic"/>
          <w:sz w:val="22"/>
          <w:szCs w:val="22"/>
          <w:lang w:val="en-GB"/>
        </w:rPr>
        <w:tab/>
        <w:t xml:space="preserve">The </w:t>
      </w:r>
      <w:r w:rsidR="00B0224D" w:rsidRPr="00AF60BA">
        <w:rPr>
          <w:rFonts w:ascii="Century Gothic" w:hAnsi="Century Gothic"/>
          <w:sz w:val="22"/>
          <w:szCs w:val="22"/>
          <w:lang w:val="en-GB"/>
        </w:rPr>
        <w:t>Lettings Administrator</w:t>
      </w:r>
      <w:r w:rsidRPr="00AF60BA">
        <w:rPr>
          <w:rFonts w:ascii="Century Gothic" w:hAnsi="Century Gothic"/>
          <w:sz w:val="22"/>
          <w:szCs w:val="22"/>
          <w:lang w:val="en-GB"/>
        </w:rPr>
        <w:t xml:space="preserve"> will arrange an appointment for a home visit within ten working days of receipt of the transfer form.</w:t>
      </w:r>
    </w:p>
    <w:p w14:paraId="1E0E9275" w14:textId="77777777" w:rsidR="00961D20" w:rsidRPr="00AF60BA" w:rsidRDefault="00961D20" w:rsidP="00A3152A">
      <w:pPr>
        <w:ind w:left="720" w:hanging="720"/>
        <w:rPr>
          <w:rFonts w:ascii="Century Gothic" w:hAnsi="Century Gothic"/>
          <w:sz w:val="22"/>
          <w:szCs w:val="22"/>
          <w:lang w:val="en-GB"/>
        </w:rPr>
      </w:pPr>
    </w:p>
    <w:p w14:paraId="30154D8C" w14:textId="1F831CCF" w:rsidR="00961D20" w:rsidRPr="00AF60BA" w:rsidRDefault="00961D20" w:rsidP="00A3152A">
      <w:pPr>
        <w:ind w:left="720" w:hanging="720"/>
        <w:rPr>
          <w:rFonts w:ascii="Century Gothic" w:hAnsi="Century Gothic"/>
          <w:sz w:val="22"/>
          <w:szCs w:val="22"/>
          <w:lang w:val="en-GB"/>
        </w:rPr>
      </w:pPr>
      <w:r w:rsidRPr="00AF60BA">
        <w:rPr>
          <w:rFonts w:ascii="Century Gothic" w:hAnsi="Century Gothic"/>
          <w:sz w:val="22"/>
          <w:szCs w:val="22"/>
          <w:lang w:val="en-GB"/>
        </w:rPr>
        <w:t>3.</w:t>
      </w:r>
      <w:r w:rsidRPr="00AF60BA">
        <w:rPr>
          <w:rFonts w:ascii="Century Gothic" w:hAnsi="Century Gothic"/>
          <w:sz w:val="22"/>
          <w:szCs w:val="22"/>
          <w:lang w:val="en-GB"/>
        </w:rPr>
        <w:tab/>
        <w:t xml:space="preserve">At the visit, a Home Visit Report form should be completed and the reasons for wishing the transfer discussed </w:t>
      </w:r>
      <w:r w:rsidR="005F59F7">
        <w:rPr>
          <w:rFonts w:ascii="Century Gothic" w:hAnsi="Century Gothic"/>
          <w:sz w:val="22"/>
          <w:szCs w:val="22"/>
          <w:lang w:val="en-GB"/>
        </w:rPr>
        <w:t xml:space="preserve">and recorded </w:t>
      </w:r>
      <w:r w:rsidRPr="00AF60BA">
        <w:rPr>
          <w:rFonts w:ascii="Century Gothic" w:hAnsi="Century Gothic"/>
          <w:sz w:val="22"/>
          <w:szCs w:val="22"/>
          <w:lang w:val="en-GB"/>
        </w:rPr>
        <w:t>in detail.</w:t>
      </w:r>
    </w:p>
    <w:p w14:paraId="3C4CD2CB" w14:textId="77777777" w:rsidR="00961D20" w:rsidRPr="00AF60BA" w:rsidRDefault="00961D20" w:rsidP="00A3152A">
      <w:pPr>
        <w:ind w:left="720" w:hanging="720"/>
        <w:rPr>
          <w:rFonts w:ascii="Century Gothic" w:hAnsi="Century Gothic"/>
          <w:sz w:val="22"/>
          <w:szCs w:val="22"/>
          <w:lang w:val="en-GB"/>
        </w:rPr>
      </w:pPr>
    </w:p>
    <w:p w14:paraId="6A3F94E7" w14:textId="6845EC7E" w:rsidR="00961D20" w:rsidRPr="00AF60BA" w:rsidRDefault="000B3BD2" w:rsidP="00A3152A">
      <w:pPr>
        <w:ind w:left="720" w:hanging="720"/>
        <w:rPr>
          <w:rFonts w:ascii="Century Gothic" w:hAnsi="Century Gothic"/>
          <w:sz w:val="22"/>
          <w:szCs w:val="22"/>
          <w:lang w:val="en-GB"/>
        </w:rPr>
      </w:pPr>
      <w:r>
        <w:rPr>
          <w:rFonts w:ascii="Century Gothic" w:hAnsi="Century Gothic"/>
          <w:sz w:val="22"/>
          <w:szCs w:val="22"/>
          <w:lang w:val="en-GB"/>
        </w:rPr>
        <w:t>4.</w:t>
      </w:r>
      <w:r>
        <w:rPr>
          <w:rFonts w:ascii="Century Gothic" w:hAnsi="Century Gothic"/>
          <w:sz w:val="22"/>
          <w:szCs w:val="22"/>
          <w:lang w:val="en-GB"/>
        </w:rPr>
        <w:tab/>
      </w:r>
      <w:r w:rsidR="005F59F7">
        <w:rPr>
          <w:rFonts w:ascii="Century Gothic" w:hAnsi="Century Gothic"/>
          <w:sz w:val="22"/>
          <w:szCs w:val="22"/>
          <w:lang w:val="en-GB"/>
        </w:rPr>
        <w:t xml:space="preserve">Once completed </w:t>
      </w:r>
      <w:r w:rsidR="00961D20" w:rsidRPr="00AF60BA">
        <w:rPr>
          <w:rFonts w:ascii="Century Gothic" w:hAnsi="Century Gothic"/>
          <w:sz w:val="22"/>
          <w:szCs w:val="22"/>
          <w:lang w:val="en-GB"/>
        </w:rPr>
        <w:t xml:space="preserve">the report </w:t>
      </w:r>
      <w:r w:rsidR="005F59F7">
        <w:rPr>
          <w:rFonts w:ascii="Century Gothic" w:hAnsi="Century Gothic"/>
          <w:sz w:val="22"/>
          <w:szCs w:val="22"/>
          <w:lang w:val="en-GB"/>
        </w:rPr>
        <w:t xml:space="preserve">will be reviewed and assessed by the Head of Housing </w:t>
      </w:r>
      <w:r w:rsidR="00961D20" w:rsidRPr="00AF60BA">
        <w:rPr>
          <w:rFonts w:ascii="Century Gothic" w:hAnsi="Century Gothic"/>
          <w:sz w:val="22"/>
          <w:szCs w:val="22"/>
          <w:lang w:val="en-GB"/>
        </w:rPr>
        <w:t xml:space="preserve"> who will approve or decline the application within </w:t>
      </w:r>
      <w:r w:rsidR="005F59F7">
        <w:rPr>
          <w:rFonts w:ascii="Century Gothic" w:hAnsi="Century Gothic"/>
          <w:sz w:val="22"/>
          <w:szCs w:val="22"/>
          <w:lang w:val="en-GB"/>
        </w:rPr>
        <w:t xml:space="preserve">two </w:t>
      </w:r>
      <w:r w:rsidR="00961D20" w:rsidRPr="00AF60BA">
        <w:rPr>
          <w:rFonts w:ascii="Century Gothic" w:hAnsi="Century Gothic"/>
          <w:sz w:val="22"/>
          <w:szCs w:val="22"/>
          <w:lang w:val="en-GB"/>
        </w:rPr>
        <w:t>weeks.</w:t>
      </w:r>
    </w:p>
    <w:p w14:paraId="244055FC" w14:textId="77777777" w:rsidR="00961D20" w:rsidRPr="00AF60BA" w:rsidRDefault="00961D20" w:rsidP="00A3152A">
      <w:pPr>
        <w:ind w:left="720" w:hanging="720"/>
        <w:rPr>
          <w:rFonts w:ascii="Century Gothic" w:hAnsi="Century Gothic"/>
          <w:sz w:val="22"/>
          <w:szCs w:val="22"/>
          <w:lang w:val="en-GB"/>
        </w:rPr>
      </w:pPr>
    </w:p>
    <w:p w14:paraId="532F65E2" w14:textId="77777777" w:rsidR="00961D20" w:rsidRPr="00AF60BA" w:rsidRDefault="00961D20" w:rsidP="00A3152A">
      <w:pPr>
        <w:ind w:left="720" w:hanging="720"/>
        <w:rPr>
          <w:rFonts w:ascii="Century Gothic" w:hAnsi="Century Gothic"/>
          <w:sz w:val="22"/>
          <w:szCs w:val="22"/>
          <w:lang w:val="en-GB"/>
        </w:rPr>
      </w:pPr>
      <w:r w:rsidRPr="00AF60BA">
        <w:rPr>
          <w:rFonts w:ascii="Century Gothic" w:hAnsi="Century Gothic"/>
          <w:sz w:val="22"/>
          <w:szCs w:val="22"/>
          <w:lang w:val="en-GB"/>
        </w:rPr>
        <w:t>5.</w:t>
      </w:r>
      <w:r w:rsidRPr="00AF60BA">
        <w:rPr>
          <w:rFonts w:ascii="Century Gothic" w:hAnsi="Century Gothic"/>
          <w:sz w:val="22"/>
          <w:szCs w:val="22"/>
          <w:lang w:val="en-GB"/>
        </w:rPr>
        <w:tab/>
        <w:t>If the application is approved, the details will be added to the transfer waiting list and the date</w:t>
      </w:r>
      <w:r w:rsidR="00B778F2" w:rsidRPr="00AF60BA">
        <w:rPr>
          <w:rFonts w:ascii="Century Gothic" w:hAnsi="Century Gothic"/>
          <w:sz w:val="22"/>
          <w:szCs w:val="22"/>
          <w:lang w:val="en-GB"/>
        </w:rPr>
        <w:t xml:space="preserve"> recorded and the applicant advised by letter that they are registered for a transfer.</w:t>
      </w:r>
    </w:p>
    <w:p w14:paraId="5C6477ED" w14:textId="77777777" w:rsidR="00B778F2" w:rsidRPr="00AF60BA" w:rsidRDefault="00B778F2" w:rsidP="00A3152A">
      <w:pPr>
        <w:ind w:left="720" w:hanging="720"/>
        <w:rPr>
          <w:rFonts w:ascii="Century Gothic" w:hAnsi="Century Gothic"/>
          <w:sz w:val="22"/>
          <w:szCs w:val="22"/>
          <w:lang w:val="en-GB"/>
        </w:rPr>
      </w:pPr>
    </w:p>
    <w:p w14:paraId="15599D5C" w14:textId="77777777" w:rsidR="00B778F2" w:rsidRPr="00AF60BA" w:rsidRDefault="00B778F2" w:rsidP="00A3152A">
      <w:pPr>
        <w:ind w:left="720" w:hanging="720"/>
        <w:rPr>
          <w:rFonts w:ascii="Century Gothic" w:hAnsi="Century Gothic"/>
          <w:sz w:val="22"/>
          <w:szCs w:val="22"/>
          <w:lang w:val="en-GB"/>
        </w:rPr>
      </w:pPr>
      <w:r w:rsidRPr="00AF60BA">
        <w:rPr>
          <w:rFonts w:ascii="Century Gothic" w:hAnsi="Century Gothic"/>
          <w:sz w:val="22"/>
          <w:szCs w:val="22"/>
          <w:lang w:val="en-GB"/>
        </w:rPr>
        <w:t>6.</w:t>
      </w:r>
      <w:r w:rsidRPr="00AF60BA">
        <w:rPr>
          <w:rFonts w:ascii="Century Gothic" w:hAnsi="Century Gothic"/>
          <w:sz w:val="22"/>
          <w:szCs w:val="22"/>
          <w:lang w:val="en-GB"/>
        </w:rPr>
        <w:tab/>
        <w:t>If the application is declined, the applicant will be written to and given full details of the appeals procedure.</w:t>
      </w:r>
    </w:p>
    <w:p w14:paraId="29F6993B" w14:textId="77777777" w:rsidR="00B778F2" w:rsidRPr="00AF60BA" w:rsidRDefault="00B778F2" w:rsidP="00A3152A">
      <w:pPr>
        <w:ind w:left="720" w:hanging="720"/>
        <w:rPr>
          <w:rFonts w:ascii="Century Gothic" w:hAnsi="Century Gothic"/>
          <w:sz w:val="22"/>
          <w:szCs w:val="22"/>
          <w:lang w:val="en-GB"/>
        </w:rPr>
      </w:pPr>
    </w:p>
    <w:p w14:paraId="746138DC" w14:textId="77777777" w:rsidR="00B778F2" w:rsidRPr="00AF60BA" w:rsidRDefault="00B778F2" w:rsidP="00A3152A">
      <w:pPr>
        <w:ind w:left="720" w:hanging="720"/>
        <w:rPr>
          <w:rFonts w:ascii="Century Gothic" w:hAnsi="Century Gothic"/>
          <w:sz w:val="22"/>
          <w:szCs w:val="22"/>
          <w:u w:val="single"/>
          <w:lang w:val="en-GB"/>
        </w:rPr>
      </w:pPr>
      <w:r w:rsidRPr="00AF60BA">
        <w:rPr>
          <w:rFonts w:ascii="Century Gothic" w:hAnsi="Century Gothic"/>
          <w:sz w:val="22"/>
          <w:szCs w:val="22"/>
          <w:u w:val="single"/>
          <w:lang w:val="en-GB"/>
        </w:rPr>
        <w:t>Monitoring</w:t>
      </w:r>
    </w:p>
    <w:p w14:paraId="50CF3440" w14:textId="77777777" w:rsidR="00B778F2" w:rsidRPr="00AF60BA" w:rsidRDefault="00B778F2" w:rsidP="00A3152A">
      <w:pPr>
        <w:ind w:left="720" w:hanging="720"/>
        <w:rPr>
          <w:rFonts w:ascii="Century Gothic" w:hAnsi="Century Gothic"/>
          <w:sz w:val="22"/>
          <w:szCs w:val="22"/>
          <w:u w:val="single"/>
          <w:lang w:val="en-GB"/>
        </w:rPr>
      </w:pPr>
    </w:p>
    <w:p w14:paraId="38145D7B" w14:textId="77777777" w:rsidR="00B778F2" w:rsidRPr="00AF60BA" w:rsidRDefault="00B778F2" w:rsidP="00B778F2">
      <w:pPr>
        <w:rPr>
          <w:rFonts w:ascii="Century Gothic" w:hAnsi="Century Gothic"/>
          <w:sz w:val="22"/>
          <w:szCs w:val="22"/>
          <w:lang w:val="en-GB"/>
        </w:rPr>
      </w:pPr>
      <w:r w:rsidRPr="00AF60BA">
        <w:rPr>
          <w:rFonts w:ascii="Century Gothic" w:hAnsi="Century Gothic"/>
          <w:sz w:val="22"/>
          <w:szCs w:val="22"/>
          <w:lang w:val="en-GB"/>
        </w:rPr>
        <w:t xml:space="preserve">At each of its meetings the Care and </w:t>
      </w:r>
      <w:r w:rsidR="009F399F">
        <w:rPr>
          <w:rFonts w:ascii="Century Gothic" w:hAnsi="Century Gothic"/>
          <w:sz w:val="22"/>
          <w:szCs w:val="22"/>
          <w:lang w:val="en-GB"/>
        </w:rPr>
        <w:t>Assessment</w:t>
      </w:r>
      <w:r w:rsidRPr="00AF60BA">
        <w:rPr>
          <w:rFonts w:ascii="Century Gothic" w:hAnsi="Century Gothic"/>
          <w:sz w:val="22"/>
          <w:szCs w:val="22"/>
          <w:lang w:val="en-GB"/>
        </w:rPr>
        <w:t xml:space="preserve"> </w:t>
      </w:r>
      <w:r w:rsidR="00EE3C22" w:rsidRPr="00AF60BA">
        <w:rPr>
          <w:rFonts w:ascii="Century Gothic" w:hAnsi="Century Gothic"/>
          <w:sz w:val="22"/>
          <w:szCs w:val="22"/>
          <w:lang w:val="en-GB"/>
        </w:rPr>
        <w:t>C</w:t>
      </w:r>
      <w:r w:rsidRPr="00AF60BA">
        <w:rPr>
          <w:rFonts w:ascii="Century Gothic" w:hAnsi="Century Gothic"/>
          <w:sz w:val="22"/>
          <w:szCs w:val="22"/>
          <w:lang w:val="en-GB"/>
        </w:rPr>
        <w:t>ommittee will receive a copy of the transfer</w:t>
      </w:r>
      <w:r w:rsidR="00EE3C22" w:rsidRPr="00AF60BA">
        <w:rPr>
          <w:rFonts w:ascii="Century Gothic" w:hAnsi="Century Gothic"/>
          <w:sz w:val="22"/>
          <w:szCs w:val="22"/>
          <w:lang w:val="en-GB"/>
        </w:rPr>
        <w:t xml:space="preserve"> </w:t>
      </w:r>
      <w:r w:rsidR="00FF76B0" w:rsidRPr="00AF60BA">
        <w:rPr>
          <w:rFonts w:ascii="Century Gothic" w:hAnsi="Century Gothic"/>
          <w:sz w:val="22"/>
          <w:szCs w:val="22"/>
          <w:lang w:val="en-GB"/>
        </w:rPr>
        <w:t>w</w:t>
      </w:r>
      <w:r w:rsidRPr="00AF60BA">
        <w:rPr>
          <w:rFonts w:ascii="Century Gothic" w:hAnsi="Century Gothic"/>
          <w:sz w:val="22"/>
          <w:szCs w:val="22"/>
          <w:lang w:val="en-GB"/>
        </w:rPr>
        <w:t>aiting list with copies of all new application</w:t>
      </w:r>
      <w:r w:rsidR="00FF76B0" w:rsidRPr="00AF60BA">
        <w:rPr>
          <w:rFonts w:ascii="Century Gothic" w:hAnsi="Century Gothic"/>
          <w:sz w:val="22"/>
          <w:szCs w:val="22"/>
          <w:lang w:val="en-GB"/>
        </w:rPr>
        <w:t xml:space="preserve">s </w:t>
      </w:r>
      <w:r w:rsidRPr="00AF60BA">
        <w:rPr>
          <w:rFonts w:ascii="Century Gothic" w:hAnsi="Century Gothic"/>
          <w:sz w:val="22"/>
          <w:szCs w:val="22"/>
          <w:lang w:val="en-GB"/>
        </w:rPr>
        <w:t>either accepted onto the list or declined.</w:t>
      </w:r>
    </w:p>
    <w:p w14:paraId="0053168C" w14:textId="77777777" w:rsidR="00B778F2" w:rsidRPr="00AF60BA" w:rsidRDefault="00B778F2" w:rsidP="00B778F2">
      <w:pPr>
        <w:rPr>
          <w:rFonts w:ascii="Century Gothic" w:hAnsi="Century Gothic"/>
          <w:sz w:val="22"/>
          <w:szCs w:val="22"/>
          <w:lang w:val="en-GB"/>
        </w:rPr>
      </w:pPr>
    </w:p>
    <w:p w14:paraId="0E94AAB1" w14:textId="77777777" w:rsidR="00B778F2" w:rsidRPr="00AF60BA" w:rsidRDefault="00B778F2" w:rsidP="00B778F2">
      <w:pPr>
        <w:rPr>
          <w:rFonts w:ascii="Century Gothic" w:hAnsi="Century Gothic"/>
          <w:sz w:val="22"/>
          <w:szCs w:val="22"/>
          <w:u w:val="single"/>
          <w:lang w:val="en-GB"/>
        </w:rPr>
      </w:pPr>
      <w:r w:rsidRPr="00AF60BA">
        <w:rPr>
          <w:rFonts w:ascii="Century Gothic" w:hAnsi="Century Gothic"/>
          <w:sz w:val="22"/>
          <w:szCs w:val="22"/>
          <w:u w:val="single"/>
          <w:lang w:val="en-GB"/>
        </w:rPr>
        <w:t>Appeals</w:t>
      </w:r>
    </w:p>
    <w:p w14:paraId="7864F3C2" w14:textId="77777777" w:rsidR="00B778F2" w:rsidRPr="00AF60BA" w:rsidRDefault="00B778F2" w:rsidP="00B778F2">
      <w:pPr>
        <w:rPr>
          <w:rFonts w:ascii="Century Gothic" w:hAnsi="Century Gothic"/>
          <w:sz w:val="22"/>
          <w:szCs w:val="22"/>
          <w:lang w:val="en-GB"/>
        </w:rPr>
      </w:pPr>
    </w:p>
    <w:p w14:paraId="53E84F2B" w14:textId="77777777" w:rsidR="00B778F2" w:rsidRPr="00AF60BA" w:rsidRDefault="00B778F2" w:rsidP="00B778F2">
      <w:pPr>
        <w:rPr>
          <w:rFonts w:ascii="Century Gothic" w:hAnsi="Century Gothic"/>
          <w:sz w:val="22"/>
          <w:szCs w:val="22"/>
          <w:lang w:val="en-GB"/>
        </w:rPr>
      </w:pPr>
      <w:r w:rsidRPr="00AF60BA">
        <w:rPr>
          <w:rFonts w:ascii="Century Gothic" w:hAnsi="Century Gothic"/>
          <w:sz w:val="22"/>
          <w:szCs w:val="22"/>
          <w:lang w:val="en-GB"/>
        </w:rPr>
        <w:t>If the applicant or his or her representative wishes to appeal against any decision relating to the applicant made by the</w:t>
      </w:r>
      <w:r w:rsidR="00EE3C22" w:rsidRPr="00AF60BA">
        <w:rPr>
          <w:rFonts w:ascii="Century Gothic" w:hAnsi="Century Gothic"/>
          <w:sz w:val="22"/>
          <w:szCs w:val="22"/>
          <w:lang w:val="en-GB"/>
        </w:rPr>
        <w:t xml:space="preserve"> A</w:t>
      </w:r>
      <w:r w:rsidRPr="00AF60BA">
        <w:rPr>
          <w:rFonts w:ascii="Century Gothic" w:hAnsi="Century Gothic"/>
          <w:sz w:val="22"/>
          <w:szCs w:val="22"/>
          <w:lang w:val="en-GB"/>
        </w:rPr>
        <w:t xml:space="preserve">ssociation, or wishes to complain about the way in which the application was handled, he or she should write to the Chairman of the Care &amp; </w:t>
      </w:r>
      <w:r w:rsidR="009F399F">
        <w:rPr>
          <w:rFonts w:ascii="Century Gothic" w:hAnsi="Century Gothic"/>
          <w:sz w:val="22"/>
          <w:szCs w:val="22"/>
          <w:lang w:val="en-GB"/>
        </w:rPr>
        <w:t>Assessment</w:t>
      </w:r>
      <w:r w:rsidRPr="00AF60BA">
        <w:rPr>
          <w:rFonts w:ascii="Century Gothic" w:hAnsi="Century Gothic"/>
          <w:sz w:val="22"/>
          <w:szCs w:val="22"/>
          <w:lang w:val="en-GB"/>
        </w:rPr>
        <w:t xml:space="preserve"> Committee, c/o Rockdale Lodge, Rockdale Road, Sevenoaks, Kent  TN13 1JT.</w:t>
      </w:r>
    </w:p>
    <w:p w14:paraId="1232140B" w14:textId="77777777" w:rsidR="00B778F2" w:rsidRPr="00AF60BA" w:rsidRDefault="00B778F2" w:rsidP="00B778F2">
      <w:pPr>
        <w:rPr>
          <w:rFonts w:ascii="Century Gothic" w:hAnsi="Century Gothic"/>
          <w:sz w:val="22"/>
          <w:szCs w:val="22"/>
          <w:lang w:val="en-GB"/>
        </w:rPr>
      </w:pPr>
    </w:p>
    <w:p w14:paraId="2637A14C" w14:textId="77777777" w:rsidR="00B778F2" w:rsidRPr="00AF60BA" w:rsidRDefault="00B778F2" w:rsidP="00B778F2">
      <w:pPr>
        <w:rPr>
          <w:rFonts w:ascii="Century Gothic" w:hAnsi="Century Gothic"/>
          <w:sz w:val="22"/>
          <w:szCs w:val="22"/>
          <w:lang w:val="en-GB"/>
        </w:rPr>
      </w:pPr>
      <w:r w:rsidRPr="00AF60BA">
        <w:rPr>
          <w:rFonts w:ascii="Century Gothic" w:hAnsi="Century Gothic"/>
          <w:sz w:val="22"/>
          <w:szCs w:val="22"/>
          <w:lang w:val="en-GB"/>
        </w:rPr>
        <w:t>The Chairman of the Care &amp;</w:t>
      </w:r>
      <w:r w:rsidR="00EE3C22" w:rsidRPr="00AF60BA">
        <w:rPr>
          <w:rFonts w:ascii="Century Gothic" w:hAnsi="Century Gothic"/>
          <w:sz w:val="22"/>
          <w:szCs w:val="22"/>
          <w:lang w:val="en-GB"/>
        </w:rPr>
        <w:t xml:space="preserve"> </w:t>
      </w:r>
      <w:r w:rsidR="009F399F">
        <w:rPr>
          <w:rFonts w:ascii="Century Gothic" w:hAnsi="Century Gothic"/>
          <w:sz w:val="22"/>
          <w:szCs w:val="22"/>
          <w:lang w:val="en-GB"/>
        </w:rPr>
        <w:t>Assessment</w:t>
      </w:r>
      <w:r w:rsidRPr="00AF60BA">
        <w:rPr>
          <w:rFonts w:ascii="Century Gothic" w:hAnsi="Century Gothic"/>
          <w:sz w:val="22"/>
          <w:szCs w:val="22"/>
          <w:lang w:val="en-GB"/>
        </w:rPr>
        <w:t xml:space="preserve"> Committee or his or her deputy will review the documentation relating to the case, and if he or she feels it necessary, meet the applicant.  The Chairman or his or her deputy will then make a decision on the appeal</w:t>
      </w:r>
      <w:r w:rsidR="00FF76B0" w:rsidRPr="00AF60BA">
        <w:rPr>
          <w:rFonts w:ascii="Century Gothic" w:hAnsi="Century Gothic"/>
          <w:sz w:val="22"/>
          <w:szCs w:val="22"/>
          <w:lang w:val="en-GB"/>
        </w:rPr>
        <w:t xml:space="preserve"> or complaint on behalf of the A</w:t>
      </w:r>
      <w:r w:rsidRPr="00AF60BA">
        <w:rPr>
          <w:rFonts w:ascii="Century Gothic" w:hAnsi="Century Gothic"/>
          <w:sz w:val="22"/>
          <w:szCs w:val="22"/>
          <w:lang w:val="en-GB"/>
        </w:rPr>
        <w:t>ssociation and notify the applicant in writing.</w:t>
      </w:r>
    </w:p>
    <w:p w14:paraId="3F339609" w14:textId="77777777" w:rsidR="00B778F2" w:rsidRPr="00AF60BA" w:rsidRDefault="00B778F2" w:rsidP="00B778F2">
      <w:pPr>
        <w:rPr>
          <w:rFonts w:ascii="Century Gothic" w:hAnsi="Century Gothic"/>
          <w:sz w:val="22"/>
          <w:szCs w:val="22"/>
          <w:lang w:val="en-GB"/>
        </w:rPr>
      </w:pPr>
    </w:p>
    <w:p w14:paraId="390F9E4D" w14:textId="77777777" w:rsidR="00B778F2" w:rsidRPr="00AF60BA" w:rsidRDefault="00B778F2" w:rsidP="00B778F2">
      <w:pPr>
        <w:rPr>
          <w:rFonts w:ascii="Century Gothic" w:hAnsi="Century Gothic"/>
          <w:sz w:val="22"/>
          <w:szCs w:val="22"/>
          <w:lang w:val="en-GB"/>
        </w:rPr>
      </w:pPr>
      <w:r w:rsidRPr="00AF60BA">
        <w:rPr>
          <w:rFonts w:ascii="Century Gothic" w:hAnsi="Century Gothic"/>
          <w:sz w:val="22"/>
          <w:szCs w:val="22"/>
          <w:lang w:val="en-GB"/>
        </w:rPr>
        <w:t xml:space="preserve">A written report on any appeals or complaints and their outcomes will be given to the Care and </w:t>
      </w:r>
      <w:r w:rsidR="009F399F">
        <w:rPr>
          <w:rFonts w:ascii="Century Gothic" w:hAnsi="Century Gothic"/>
          <w:sz w:val="22"/>
          <w:szCs w:val="22"/>
          <w:lang w:val="en-GB"/>
        </w:rPr>
        <w:t>Assessment</w:t>
      </w:r>
      <w:r w:rsidRPr="00AF60BA">
        <w:rPr>
          <w:rFonts w:ascii="Century Gothic" w:hAnsi="Century Gothic"/>
          <w:sz w:val="22"/>
          <w:szCs w:val="22"/>
          <w:lang w:val="en-GB"/>
        </w:rPr>
        <w:t xml:space="preserve"> Committee.</w:t>
      </w:r>
    </w:p>
    <w:p w14:paraId="2738D14E" w14:textId="77777777" w:rsidR="0024278A" w:rsidRPr="00AF60BA" w:rsidRDefault="0024278A">
      <w:pPr>
        <w:rPr>
          <w:rFonts w:ascii="Century Gothic" w:hAnsi="Century Gothic"/>
          <w:sz w:val="22"/>
          <w:szCs w:val="22"/>
          <w:lang w:val="en-GB"/>
        </w:rPr>
      </w:pPr>
    </w:p>
    <w:p w14:paraId="49C2754D" w14:textId="77777777" w:rsidR="0024278A" w:rsidRPr="00AF60BA" w:rsidRDefault="0024278A">
      <w:pPr>
        <w:rPr>
          <w:rFonts w:ascii="Century Gothic" w:hAnsi="Century Gothic"/>
          <w:sz w:val="22"/>
          <w:szCs w:val="22"/>
          <w:lang w:val="en-GB"/>
        </w:rPr>
      </w:pPr>
    </w:p>
    <w:sectPr w:rsidR="0024278A" w:rsidRPr="00AF60BA" w:rsidSect="00FB3044">
      <w:headerReference w:type="default" r:id="rId8"/>
      <w:footerReference w:type="default" r:id="rId9"/>
      <w:pgSz w:w="11905" w:h="16837"/>
      <w:pgMar w:top="1440" w:right="1440" w:bottom="1440" w:left="1440" w:header="426" w:footer="3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2F405" w14:textId="77777777" w:rsidR="00D9214A" w:rsidRDefault="00D9214A">
      <w:r>
        <w:separator/>
      </w:r>
    </w:p>
  </w:endnote>
  <w:endnote w:type="continuationSeparator" w:id="0">
    <w:p w14:paraId="2E0D45C4" w14:textId="77777777" w:rsidR="00D9214A" w:rsidRDefault="00D9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25522" w14:textId="41B916AC" w:rsidR="00360746" w:rsidRPr="00360746" w:rsidRDefault="00360746" w:rsidP="00360746">
    <w:pPr>
      <w:tabs>
        <w:tab w:val="center" w:pos="4512"/>
        <w:tab w:val="right" w:pos="9025"/>
      </w:tabs>
      <w:rPr>
        <w:rFonts w:ascii="Century Gothic" w:hAnsi="Century Gothic"/>
        <w:sz w:val="20"/>
        <w:szCs w:val="20"/>
        <w:lang w:val="en-GB"/>
      </w:rPr>
    </w:pPr>
    <w:r w:rsidRPr="00360746">
      <w:rPr>
        <w:rFonts w:ascii="Century Gothic" w:hAnsi="Century Gothic"/>
        <w:i/>
        <w:iCs/>
        <w:sz w:val="20"/>
        <w:szCs w:val="20"/>
        <w:lang w:val="en-GB"/>
      </w:rPr>
      <w:tab/>
      <w:t xml:space="preserve">Page </w:t>
    </w:r>
    <w:r w:rsidRPr="00360746">
      <w:rPr>
        <w:rFonts w:ascii="Century Gothic" w:hAnsi="Century Gothic"/>
        <w:i/>
        <w:iCs/>
        <w:sz w:val="20"/>
        <w:szCs w:val="20"/>
        <w:lang w:val="en-GB"/>
      </w:rPr>
      <w:fldChar w:fldCharType="begin"/>
    </w:r>
    <w:r w:rsidRPr="00360746">
      <w:rPr>
        <w:rFonts w:ascii="Century Gothic" w:hAnsi="Century Gothic"/>
        <w:i/>
        <w:iCs/>
        <w:sz w:val="20"/>
        <w:szCs w:val="20"/>
        <w:lang w:val="en-GB"/>
      </w:rPr>
      <w:instrText xml:space="preserve"> PAGE </w:instrText>
    </w:r>
    <w:r w:rsidRPr="00360746">
      <w:rPr>
        <w:rFonts w:ascii="Century Gothic" w:hAnsi="Century Gothic"/>
        <w:i/>
        <w:iCs/>
        <w:sz w:val="20"/>
        <w:szCs w:val="20"/>
        <w:lang w:val="en-GB"/>
      </w:rPr>
      <w:fldChar w:fldCharType="separate"/>
    </w:r>
    <w:r w:rsidR="00F51A6F">
      <w:rPr>
        <w:rFonts w:ascii="Century Gothic" w:hAnsi="Century Gothic"/>
        <w:i/>
        <w:iCs/>
        <w:noProof/>
        <w:sz w:val="20"/>
        <w:szCs w:val="20"/>
        <w:lang w:val="en-GB"/>
      </w:rPr>
      <w:t>2</w:t>
    </w:r>
    <w:r w:rsidRPr="00360746">
      <w:rPr>
        <w:rFonts w:ascii="Century Gothic" w:hAnsi="Century Gothic"/>
        <w:i/>
        <w:iCs/>
        <w:sz w:val="20"/>
        <w:szCs w:val="20"/>
        <w:lang w:val="en-GB"/>
      </w:rPr>
      <w:fldChar w:fldCharType="end"/>
    </w:r>
    <w:r w:rsidRPr="00360746">
      <w:rPr>
        <w:rFonts w:ascii="Century Gothic" w:hAnsi="Century Gothic"/>
        <w:i/>
        <w:iCs/>
        <w:sz w:val="20"/>
        <w:szCs w:val="20"/>
        <w:lang w:val="en-GB"/>
      </w:rPr>
      <w:t xml:space="preserve"> of </w:t>
    </w:r>
    <w:r w:rsidRPr="00360746">
      <w:rPr>
        <w:rFonts w:ascii="Century Gothic" w:hAnsi="Century Gothic"/>
        <w:i/>
        <w:iCs/>
        <w:sz w:val="20"/>
        <w:szCs w:val="20"/>
        <w:lang w:val="en-GB"/>
      </w:rPr>
      <w:fldChar w:fldCharType="begin"/>
    </w:r>
    <w:r w:rsidRPr="00360746">
      <w:rPr>
        <w:rFonts w:ascii="Century Gothic" w:hAnsi="Century Gothic"/>
        <w:i/>
        <w:iCs/>
        <w:sz w:val="20"/>
        <w:szCs w:val="20"/>
        <w:lang w:val="en-GB"/>
      </w:rPr>
      <w:instrText xml:space="preserve"> NUMPAGES </w:instrText>
    </w:r>
    <w:r w:rsidRPr="00360746">
      <w:rPr>
        <w:rFonts w:ascii="Century Gothic" w:hAnsi="Century Gothic"/>
        <w:i/>
        <w:iCs/>
        <w:sz w:val="20"/>
        <w:szCs w:val="20"/>
        <w:lang w:val="en-GB"/>
      </w:rPr>
      <w:fldChar w:fldCharType="separate"/>
    </w:r>
    <w:r w:rsidR="00F51A6F">
      <w:rPr>
        <w:rFonts w:ascii="Century Gothic" w:hAnsi="Century Gothic"/>
        <w:i/>
        <w:iCs/>
        <w:noProof/>
        <w:sz w:val="20"/>
        <w:szCs w:val="20"/>
        <w:lang w:val="en-GB"/>
      </w:rPr>
      <w:t>2</w:t>
    </w:r>
    <w:r w:rsidRPr="00360746">
      <w:rPr>
        <w:rFonts w:ascii="Century Gothic" w:hAnsi="Century Gothic"/>
        <w:i/>
        <w:iCs/>
        <w:sz w:val="20"/>
        <w:szCs w:val="20"/>
        <w:lang w:val="en-GB"/>
      </w:rPr>
      <w:fldChar w:fldCharType="end"/>
    </w:r>
    <w:r w:rsidRPr="00360746">
      <w:rPr>
        <w:rFonts w:ascii="Century Gothic" w:hAnsi="Century Gothic"/>
        <w:sz w:val="20"/>
        <w:szCs w:val="20"/>
        <w:lang w:val="en-GB"/>
      </w:rPr>
      <w:tab/>
    </w:r>
  </w:p>
  <w:p w14:paraId="7E28CFF7" w14:textId="77777777" w:rsidR="00C71BB7" w:rsidRDefault="00C71BB7">
    <w:pPr>
      <w:tabs>
        <w:tab w:val="center" w:pos="4512"/>
        <w:tab w:val="right" w:pos="9025"/>
      </w:tabs>
      <w:rPr>
        <w:i/>
        <w:iCs/>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7E269" w14:textId="77777777" w:rsidR="00D9214A" w:rsidRDefault="00D9214A">
      <w:r>
        <w:separator/>
      </w:r>
    </w:p>
  </w:footnote>
  <w:footnote w:type="continuationSeparator" w:id="0">
    <w:p w14:paraId="5182CD01" w14:textId="77777777" w:rsidR="00D9214A" w:rsidRDefault="00D92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262ED" w14:textId="77777777" w:rsidR="00647373" w:rsidRPr="009D32D2" w:rsidRDefault="009D32D2">
    <w:pPr>
      <w:pStyle w:val="Header"/>
      <w:rPr>
        <w:rFonts w:ascii="Century Gothic" w:hAnsi="Century Gothic"/>
        <w:i/>
        <w:sz w:val="20"/>
        <w:szCs w:val="20"/>
      </w:rPr>
    </w:pPr>
    <w:r w:rsidRPr="009D32D2">
      <w:rPr>
        <w:rFonts w:ascii="Century Gothic" w:hAnsi="Century Gothic"/>
        <w:i/>
        <w:sz w:val="20"/>
        <w:szCs w:val="20"/>
      </w:rPr>
      <w:fldChar w:fldCharType="begin"/>
    </w:r>
    <w:r w:rsidRPr="009D32D2">
      <w:rPr>
        <w:rFonts w:ascii="Century Gothic" w:hAnsi="Century Gothic"/>
        <w:i/>
        <w:sz w:val="20"/>
        <w:szCs w:val="20"/>
      </w:rPr>
      <w:instrText xml:space="preserve"> FILENAME   \* MERGEFORMAT </w:instrText>
    </w:r>
    <w:r w:rsidRPr="009D32D2">
      <w:rPr>
        <w:rFonts w:ascii="Century Gothic" w:hAnsi="Century Gothic"/>
        <w:i/>
        <w:sz w:val="20"/>
        <w:szCs w:val="20"/>
      </w:rPr>
      <w:fldChar w:fldCharType="separate"/>
    </w:r>
    <w:r w:rsidR="00C42D57">
      <w:rPr>
        <w:rFonts w:ascii="Century Gothic" w:hAnsi="Century Gothic"/>
        <w:i/>
        <w:noProof/>
        <w:sz w:val="20"/>
        <w:szCs w:val="20"/>
      </w:rPr>
      <w:t>3.6 Transfers Policy and Procedure.docx</w:t>
    </w:r>
    <w:r w:rsidRPr="009D32D2">
      <w:rPr>
        <w:rFonts w:ascii="Century Gothic" w:hAnsi="Century Gothic"/>
        <w: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36605"/>
    <w:multiLevelType w:val="hybridMultilevel"/>
    <w:tmpl w:val="47D6565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8A"/>
    <w:rsid w:val="00002AB6"/>
    <w:rsid w:val="00017D96"/>
    <w:rsid w:val="000325E1"/>
    <w:rsid w:val="00056FC9"/>
    <w:rsid w:val="000B3BD2"/>
    <w:rsid w:val="00206333"/>
    <w:rsid w:val="00214821"/>
    <w:rsid w:val="0024278A"/>
    <w:rsid w:val="00263BAA"/>
    <w:rsid w:val="00360746"/>
    <w:rsid w:val="00444272"/>
    <w:rsid w:val="0044699C"/>
    <w:rsid w:val="00466356"/>
    <w:rsid w:val="004D1F06"/>
    <w:rsid w:val="005844E2"/>
    <w:rsid w:val="005F59F7"/>
    <w:rsid w:val="00647373"/>
    <w:rsid w:val="00666D4E"/>
    <w:rsid w:val="006B475C"/>
    <w:rsid w:val="00700365"/>
    <w:rsid w:val="00712421"/>
    <w:rsid w:val="00764E4B"/>
    <w:rsid w:val="007726B0"/>
    <w:rsid w:val="0079006F"/>
    <w:rsid w:val="00830BBC"/>
    <w:rsid w:val="008A0E07"/>
    <w:rsid w:val="00961D20"/>
    <w:rsid w:val="009A666B"/>
    <w:rsid w:val="009D32D2"/>
    <w:rsid w:val="009F399F"/>
    <w:rsid w:val="00A3152A"/>
    <w:rsid w:val="00AA7233"/>
    <w:rsid w:val="00AC38B8"/>
    <w:rsid w:val="00AF60BA"/>
    <w:rsid w:val="00B0224D"/>
    <w:rsid w:val="00B23444"/>
    <w:rsid w:val="00B74559"/>
    <w:rsid w:val="00B778F2"/>
    <w:rsid w:val="00BB604E"/>
    <w:rsid w:val="00BD1DFD"/>
    <w:rsid w:val="00C35AC2"/>
    <w:rsid w:val="00C42D57"/>
    <w:rsid w:val="00C71BB7"/>
    <w:rsid w:val="00CF06E3"/>
    <w:rsid w:val="00D9214A"/>
    <w:rsid w:val="00D9267A"/>
    <w:rsid w:val="00E356F9"/>
    <w:rsid w:val="00EE3C22"/>
    <w:rsid w:val="00F31BC3"/>
    <w:rsid w:val="00F51A6F"/>
    <w:rsid w:val="00F6186E"/>
    <w:rsid w:val="00FB3044"/>
    <w:rsid w:val="00FF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14:docId w14:val="74868D98"/>
  <w15:docId w15:val="{75CC925C-94D5-4DA3-A444-1A14865D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B778F2"/>
    <w:pPr>
      <w:tabs>
        <w:tab w:val="center" w:pos="4153"/>
        <w:tab w:val="right" w:pos="8306"/>
      </w:tabs>
    </w:pPr>
  </w:style>
  <w:style w:type="paragraph" w:styleId="Footer">
    <w:name w:val="footer"/>
    <w:basedOn w:val="Normal"/>
    <w:rsid w:val="00B778F2"/>
    <w:pPr>
      <w:tabs>
        <w:tab w:val="center" w:pos="4153"/>
        <w:tab w:val="right" w:pos="8306"/>
      </w:tabs>
    </w:pPr>
  </w:style>
  <w:style w:type="character" w:styleId="PageNumber">
    <w:name w:val="page number"/>
    <w:basedOn w:val="DefaultParagraphFont"/>
    <w:rsid w:val="005844E2"/>
  </w:style>
  <w:style w:type="paragraph" w:styleId="BalloonText">
    <w:name w:val="Balloon Text"/>
    <w:basedOn w:val="Normal"/>
    <w:link w:val="BalloonTextChar"/>
    <w:uiPriority w:val="99"/>
    <w:semiHidden/>
    <w:unhideWhenUsed/>
    <w:rsid w:val="00FB3044"/>
    <w:rPr>
      <w:rFonts w:ascii="Tahoma" w:hAnsi="Tahoma" w:cs="Tahoma"/>
      <w:sz w:val="16"/>
      <w:szCs w:val="16"/>
    </w:rPr>
  </w:style>
  <w:style w:type="character" w:customStyle="1" w:styleId="BalloonTextChar">
    <w:name w:val="Balloon Text Char"/>
    <w:basedOn w:val="DefaultParagraphFont"/>
    <w:link w:val="BalloonText"/>
    <w:uiPriority w:val="99"/>
    <w:semiHidden/>
    <w:rsid w:val="00FB3044"/>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566</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Rockdale Housing Association Limited</vt:lpstr>
    </vt:vector>
  </TitlesOfParts>
  <Company>Hewlett-Packard Company</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Rockdale Housing Association Limited</dc:title>
  <dc:creator>Jill Griffiths</dc:creator>
  <cp:lastModifiedBy>Claire Billis</cp:lastModifiedBy>
  <cp:revision>6</cp:revision>
  <cp:lastPrinted>2017-01-16T15:33:00Z</cp:lastPrinted>
  <dcterms:created xsi:type="dcterms:W3CDTF">2021-07-19T11:12:00Z</dcterms:created>
  <dcterms:modified xsi:type="dcterms:W3CDTF">2021-09-28T06:58:00Z</dcterms:modified>
</cp:coreProperties>
</file>